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10A9" w:rsidRDefault="00E610A9"/>
    <w:p w:rsidR="00E610A9" w:rsidRDefault="00E610A9"/>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Name: </w:t>
      </w:r>
      <w:r w:rsidR="00CC0810">
        <w:rPr>
          <w:rFonts w:ascii="Calibri Light" w:hAnsi="Calibri Light" w:cs="Calibri Light"/>
        </w:rPr>
        <w:t>Kurt Glock</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E-mail</w:t>
      </w:r>
      <w:r w:rsidRPr="00CC0810">
        <w:rPr>
          <w:rFonts w:ascii="Calibri Light" w:hAnsi="Calibri Light" w:cs="Calibri Light"/>
        </w:rPr>
        <w:t xml:space="preserve">: </w:t>
      </w:r>
      <w:r w:rsidR="00CC0810" w:rsidRPr="00CC0810">
        <w:rPr>
          <w:rFonts w:ascii="Calibri Light" w:hAnsi="Calibri Light" w:cs="Calibri Light"/>
        </w:rPr>
        <w:t>kurt.glock@boku.ac.at</w:t>
      </w:r>
    </w:p>
    <w:p w:rsidR="00E610A9" w:rsidRPr="00AF081F" w:rsidRDefault="00E610A9" w:rsidP="00AF081F">
      <w:pPr>
        <w:spacing w:after="120" w:line="240" w:lineRule="auto"/>
        <w:ind w:left="284" w:right="902"/>
        <w:rPr>
          <w:rFonts w:ascii="Calibri Light" w:hAnsi="Calibri Light" w:cs="Calibri Light"/>
        </w:rPr>
      </w:pPr>
      <w:r w:rsidRPr="00AF081F">
        <w:rPr>
          <w:rFonts w:ascii="Calibri Light" w:hAnsi="Calibri Light" w:cs="Calibri Light"/>
        </w:rPr>
        <w:t xml:space="preserve">Institution: </w:t>
      </w:r>
      <w:r w:rsidR="00CC0810" w:rsidRPr="00CC0810">
        <w:rPr>
          <w:rFonts w:ascii="Calibri Light" w:hAnsi="Calibri Light" w:cs="Calibri Light"/>
        </w:rPr>
        <w:t>University of Natural Resources and Life Sciences, Vienna</w:t>
      </w:r>
    </w:p>
    <w:tbl>
      <w:tblPr>
        <w:tblStyle w:val="TableGrid"/>
        <w:tblW w:w="10916" w:type="dxa"/>
        <w:tblInd w:w="-743" w:type="dxa"/>
        <w:tblLook w:val="04A0"/>
      </w:tblPr>
      <w:tblGrid>
        <w:gridCol w:w="3545"/>
        <w:gridCol w:w="7371"/>
      </w:tblGrid>
      <w:tr w:rsidR="00E610A9" w:rsidTr="00E610A9">
        <w:tc>
          <w:tcPr>
            <w:tcW w:w="3545" w:type="dxa"/>
          </w:tcPr>
          <w:p w:rsidR="00E610A9" w:rsidRDefault="00CC0810">
            <w:r w:rsidRPr="00CC0810">
              <w:drawing>
                <wp:inline distT="0" distB="0" distL="0" distR="0">
                  <wp:extent cx="1190625" cy="1984460"/>
                  <wp:effectExtent l="0" t="0" r="0" b="0"/>
                  <wp:docPr id="8"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rt_Glock.jpg"/>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1193083" cy="1988556"/>
                          </a:xfrm>
                          <a:prstGeom prst="rect">
                            <a:avLst/>
                          </a:prstGeom>
                        </pic:spPr>
                      </pic:pic>
                    </a:graphicData>
                  </a:graphic>
                </wp:inline>
              </w:drawing>
            </w:r>
          </w:p>
        </w:tc>
        <w:tc>
          <w:tcPr>
            <w:tcW w:w="7371" w:type="dxa"/>
          </w:tcPr>
          <w:p w:rsidR="00CC0810" w:rsidRPr="00CC0810" w:rsidRDefault="00CC0810" w:rsidP="00CC0810">
            <w:pPr>
              <w:jc w:val="both"/>
              <w:rPr>
                <w:rFonts w:ascii="Calibri Light" w:hAnsi="Calibri Light" w:cs="Calibri Light"/>
              </w:rPr>
            </w:pPr>
            <w:r w:rsidRPr="00CC0810">
              <w:rPr>
                <w:rFonts w:ascii="Calibri Light" w:hAnsi="Calibri Light" w:cs="Calibri Light"/>
              </w:rPr>
              <w:t xml:space="preserve">DI Glock graduated from BOKU as Enviromental Engineer and has been working since 2013 as a project engineer in Dr. Tritthart’s computational river modelling group at BOKU.  Since 2016 he is enroled in the doctoral studies of natural resources and life sciences at BOKU. The focus of his work is planning and evaluation of river engineering measures based on numerical simulations considering issues of sediment transport and ecology. </w:t>
            </w:r>
          </w:p>
          <w:p w:rsidR="00E610A9" w:rsidRDefault="00CC0810" w:rsidP="00CC0810">
            <w:pPr>
              <w:jc w:val="both"/>
            </w:pPr>
            <w:r w:rsidRPr="00CC0810">
              <w:rPr>
                <w:rFonts w:ascii="Calibri Light" w:hAnsi="Calibri Light" w:cs="Calibri Light"/>
              </w:rPr>
              <w:t>Within the SWARM project he is a team member of BOKU responsible for technical and financial reporting. Under the lead of Dr. Tritthart he is focusing on WP1 and supports the project partners in the remaining WPs.</w:t>
            </w:r>
          </w:p>
        </w:tc>
      </w:tr>
      <w:tr w:rsidR="00E610A9" w:rsidTr="001A4729">
        <w:tc>
          <w:tcPr>
            <w:tcW w:w="10916" w:type="dxa"/>
            <w:gridSpan w:val="2"/>
          </w:tcPr>
          <w:p w:rsidR="00E610A9" w:rsidRDefault="00E610A9" w:rsidP="00E610A9">
            <w:pPr>
              <w:spacing w:after="120" w:line="360" w:lineRule="auto"/>
              <w:ind w:right="902"/>
            </w:pPr>
            <w:r>
              <w:t>References (max. 5 relevant references)</w:t>
            </w:r>
          </w:p>
          <w:p w:rsidR="00CC0810" w:rsidRPr="00CC0810" w:rsidRDefault="00CC0810" w:rsidP="00CC0810">
            <w:pPr>
              <w:ind w:left="709" w:hanging="709"/>
              <w:rPr>
                <w:rFonts w:ascii="Calibri Light" w:hAnsi="Calibri Light" w:cs="Calibri Light"/>
                <w:lang w:val="en-GB"/>
              </w:rPr>
            </w:pPr>
            <w:r>
              <w:rPr>
                <w:rFonts w:ascii="Calibri Light" w:hAnsi="Calibri Light" w:cs="Calibri Light"/>
                <w:lang w:val="de-AT"/>
              </w:rPr>
              <w:t xml:space="preserve">1. </w:t>
            </w:r>
            <w:r w:rsidRPr="00CC0810">
              <w:rPr>
                <w:rFonts w:ascii="Calibri Light" w:hAnsi="Calibri Light" w:cs="Calibri Light"/>
                <w:lang w:val="de-AT"/>
              </w:rPr>
              <w:t xml:space="preserve">Glas, M., </w:t>
            </w:r>
            <w:r w:rsidRPr="00CC0810">
              <w:rPr>
                <w:rFonts w:ascii="Calibri Light" w:hAnsi="Calibri Light" w:cs="Calibri Light"/>
                <w:b/>
                <w:lang w:val="de-AT"/>
              </w:rPr>
              <w:t>Glock, K</w:t>
            </w:r>
            <w:r w:rsidRPr="00CC0810">
              <w:rPr>
                <w:rFonts w:ascii="Calibri Light" w:hAnsi="Calibri Light" w:cs="Calibri Light"/>
                <w:lang w:val="de-AT"/>
              </w:rPr>
              <w:t xml:space="preserve">., Tritthart, M., Liedermann, M., Habersack, H. 2018. </w:t>
            </w:r>
            <w:r w:rsidRPr="00CC0810">
              <w:rPr>
                <w:rFonts w:ascii="Calibri Light" w:hAnsi="Calibri Light" w:cs="Calibri Light"/>
                <w:lang w:val="en-GB"/>
              </w:rPr>
              <w:t xml:space="preserve">Hydrodynamic and morphodynamic sensitivity of a river’s main channel to groyne geometry. </w:t>
            </w:r>
            <w:r w:rsidRPr="00CC0810">
              <w:rPr>
                <w:rFonts w:ascii="Calibri Light" w:hAnsi="Calibri Light" w:cs="Calibri Light"/>
                <w:i/>
                <w:lang w:val="en-GB"/>
              </w:rPr>
              <w:t>Journal of Hydraulic Research</w:t>
            </w:r>
            <w:r w:rsidRPr="00CC0810">
              <w:rPr>
                <w:rFonts w:ascii="Calibri Light" w:hAnsi="Calibri Light" w:cs="Calibri Light"/>
                <w:lang w:val="en-GB"/>
              </w:rPr>
              <w:t>, 56 (5), 714-726, 10.1080/00221686.2017.1405369.</w:t>
            </w:r>
          </w:p>
          <w:p w:rsidR="00CC0810" w:rsidRPr="00CC0810" w:rsidRDefault="00CC0810" w:rsidP="00CC0810">
            <w:pPr>
              <w:ind w:left="709" w:hanging="709"/>
              <w:rPr>
                <w:rFonts w:ascii="Calibri Light" w:hAnsi="Calibri Light" w:cs="Calibri Light"/>
                <w:lang w:val="en-GB"/>
              </w:rPr>
            </w:pPr>
            <w:r w:rsidRPr="00CC0810">
              <w:rPr>
                <w:rFonts w:ascii="Calibri Light" w:hAnsi="Calibri Light" w:cs="Calibri Light"/>
                <w:lang w:val="en-GB"/>
              </w:rPr>
              <w:t xml:space="preserve">2. </w:t>
            </w:r>
            <w:r w:rsidRPr="00CC0810">
              <w:rPr>
                <w:rFonts w:ascii="Calibri Light" w:hAnsi="Calibri Light" w:cs="Calibri Light"/>
                <w:b/>
                <w:lang w:val="en-GB"/>
              </w:rPr>
              <w:t>Glock, K</w:t>
            </w:r>
            <w:r w:rsidRPr="00CC0810">
              <w:rPr>
                <w:rFonts w:ascii="Calibri Light" w:hAnsi="Calibri Light" w:cs="Calibri Light"/>
                <w:lang w:val="en-GB"/>
              </w:rPr>
              <w:t xml:space="preserve">., Tritthart, M., Rindler, R., Liedermann, M., Habersack, H. 2018. Numerical investigation of bedload transport processes during flood events at the Drau River. </w:t>
            </w:r>
            <w:r w:rsidRPr="00CC0810">
              <w:rPr>
                <w:rFonts w:ascii="Calibri Light" w:hAnsi="Calibri Light" w:cs="Calibri Light"/>
                <w:i/>
                <w:lang w:val="en-GB"/>
              </w:rPr>
              <w:t>Proceedings of the 5th IAHR Europe Congress</w:t>
            </w:r>
            <w:r w:rsidRPr="00CC0810">
              <w:rPr>
                <w:rFonts w:ascii="Calibri Light" w:hAnsi="Calibri Light" w:cs="Calibri Light"/>
                <w:lang w:val="en-GB"/>
              </w:rPr>
              <w:t>, Trento, Italy.</w:t>
            </w:r>
          </w:p>
          <w:p w:rsidR="00CC0810" w:rsidRPr="00CC0810" w:rsidRDefault="00CC0810" w:rsidP="00CC0810">
            <w:pPr>
              <w:ind w:left="709" w:hanging="709"/>
              <w:rPr>
                <w:rFonts w:ascii="Calibri Light" w:hAnsi="Calibri Light" w:cs="Calibri Light"/>
                <w:lang w:val="en-GB"/>
              </w:rPr>
            </w:pPr>
            <w:r w:rsidRPr="00CC0810">
              <w:rPr>
                <w:rFonts w:ascii="Calibri Light" w:hAnsi="Calibri Light" w:cs="Calibri Light"/>
                <w:lang w:val="de-AT"/>
              </w:rPr>
              <w:t xml:space="preserve">3. </w:t>
            </w:r>
            <w:r w:rsidRPr="00CC0810">
              <w:rPr>
                <w:rFonts w:ascii="Calibri Light" w:hAnsi="Calibri Light" w:cs="Calibri Light"/>
                <w:b/>
                <w:lang w:val="de-AT"/>
              </w:rPr>
              <w:t>Glock, K.</w:t>
            </w:r>
            <w:r w:rsidRPr="00CC0810">
              <w:rPr>
                <w:rFonts w:ascii="Calibri Light" w:hAnsi="Calibri Light" w:cs="Calibri Light"/>
                <w:lang w:val="de-AT"/>
              </w:rPr>
              <w:t xml:space="preserve">, Tritthart, M., Gmeiner, P., Pessenlehner, S., Habersack, H. 2017. </w:t>
            </w:r>
            <w:r w:rsidRPr="00CC0810">
              <w:rPr>
                <w:rFonts w:ascii="Calibri Light" w:hAnsi="Calibri Light" w:cs="Calibri Light"/>
                <w:lang w:val="en-GB"/>
              </w:rPr>
              <w:t xml:space="preserve">Evaluation of engineering measures on the Danube based on numerical analysis. </w:t>
            </w:r>
            <w:r w:rsidRPr="00CC0810">
              <w:rPr>
                <w:rFonts w:ascii="Calibri Light" w:hAnsi="Calibri Light" w:cs="Calibri Light"/>
                <w:i/>
                <w:lang w:val="en-GB"/>
              </w:rPr>
              <w:t>Journal of Applied Water Engineering and Research</w:t>
            </w:r>
            <w:r w:rsidRPr="00CC0810">
              <w:rPr>
                <w:rFonts w:ascii="Calibri Light" w:hAnsi="Calibri Light" w:cs="Calibri Light"/>
                <w:lang w:val="en-GB"/>
              </w:rPr>
              <w:t>, 1-19, 10.1080/23249676.2017.1355757.</w:t>
            </w:r>
          </w:p>
          <w:p w:rsidR="00E610A9" w:rsidRDefault="00E610A9" w:rsidP="00E610A9">
            <w:pPr>
              <w:ind w:left="720" w:hanging="720"/>
              <w:jc w:val="both"/>
            </w:pPr>
          </w:p>
        </w:tc>
      </w:tr>
    </w:tbl>
    <w:p w:rsidR="008408D9" w:rsidRDefault="009F73B9">
      <w:r>
        <w:rPr>
          <w:noProof/>
        </w:rPr>
        <w:pict>
          <v:shapetype id="_x0000_t202" coordsize="21600,21600" o:spt="202" path="m,l,21600r21600,l21600,xe">
            <v:stroke joinstyle="miter"/>
            <v:path gradientshapeok="t" o:connecttype="rect"/>
          </v:shapetype>
          <v:shape id="Text Box 2" o:spid="_x0000_s1026" type="#_x0000_t202" style="position:absolute;margin-left:1.65pt;margin-top:625.4pt;width:450.85pt;height:53.9pt;z-index:251660288;visibility:visible;mso-wrap-distance-top:3.6pt;mso-wrap-distance-bottom:3.6pt;mso-position-horizontal-relative:text;mso-position-vertical-relative:pag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" strokecolor="#2e74b5 [2404]">
            <v:stroke dashstyle="dash"/>
            <v:textbox style="mso-next-textbox:#Text Box 2">
              <w:txbxContent>
                <w:p w:rsidR="00CC3A6C" w:rsidRPr="00CC3A6C" w:rsidRDefault="007305FF" w:rsidP="007305FF">
                  <w:pPr>
                    <w:pStyle w:val="NormalWeb"/>
                    <w:spacing w:before="0" w:beforeAutospacing="0" w:after="200" w:afterAutospacing="0"/>
                    <w:jc w:val="center"/>
                    <w:textAlignment w:val="baseline"/>
                    <w:rPr>
                      <w:rFonts w:asciiTheme="majorHAnsi" w:hAnsiTheme="majorHAnsi" w:cstheme="majorHAnsi"/>
                      <w:color w:val="2E74B5" w:themeColor="accent1" w:themeShade="BF"/>
                    </w:rPr>
                  </w:pPr>
                  <w:r w:rsidRPr="007305FF">
                    <w:rPr>
                      <w:rFonts w:asciiTheme="majorHAnsi" w:eastAsiaTheme="minorHAnsi" w:hAnsiTheme="majorHAnsi" w:cstheme="majorHAnsi"/>
                      <w:color w:val="2E74B5" w:themeColor="accent1" w:themeShade="BF"/>
                      <w:sz w:val="22"/>
                      <w:szCs w:val="22"/>
                    </w:rPr>
                    <w:t>This project has been funded with support from the European Commission. This publication reflects the views only of the author, and the Commission cannot be held responsible for any use which may be made of the information contained therein</w:t>
                  </w:r>
                  <w:r>
                    <w:rPr>
                      <w:rFonts w:asciiTheme="majorHAnsi" w:eastAsiaTheme="minorHAnsi" w:hAnsiTheme="majorHAnsi" w:cstheme="majorHAnsi"/>
                      <w:color w:val="2E74B5" w:themeColor="accent1" w:themeShade="BF"/>
                      <w:sz w:val="22"/>
                      <w:szCs w:val="22"/>
                    </w:rPr>
                    <w:t>.</w:t>
                  </w:r>
                </w:p>
              </w:txbxContent>
            </v:textbox>
            <w10:wrap type="square" anchory="page"/>
          </v:shape>
        </w:pict>
      </w:r>
      <w:r w:rsidR="006D774D">
        <w:rPr>
          <w:noProof/>
        </w:rPr>
        <w:drawing>
          <wp:anchor distT="0" distB="0" distL="114300" distR="114300" simplePos="0" relativeHeight="251661312" behindDoc="1" locked="1" layoutInCell="1" allowOverlap="1">
            <wp:simplePos x="0" y="0"/>
            <wp:positionH relativeFrom="page">
              <wp:posOffset>0</wp:posOffset>
            </wp:positionH>
            <wp:positionV relativeFrom="page">
              <wp:posOffset>116840</wp:posOffset>
            </wp:positionV>
            <wp:extent cx="7556500" cy="10398125"/>
            <wp:effectExtent l="19050" t="0" r="635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aslovna jos XX.t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7556500" cy="10398125"/>
                    </a:xfrm>
                    <a:prstGeom prst="rect">
                      <a:avLst/>
                    </a:prstGeom>
                  </pic:spPr>
                </pic:pic>
              </a:graphicData>
            </a:graphic>
          </wp:anchor>
        </w:drawing>
      </w:r>
    </w:p>
    <w:p w:rsidR="008408D9" w:rsidRDefault="008408D9"/>
    <w:p w:rsidR="008408D9" w:rsidRPr="00CE2457" w:rsidRDefault="008408D9">
      <w:pPr>
        <w:rPr>
          <w:rFonts w:ascii="Calibri Light" w:hAnsi="Calibri Light" w:cs="Calibri Light"/>
        </w:rPr>
      </w:pPr>
    </w:p>
    <w:sectPr w:rsidR="008408D9" w:rsidRPr="00CE2457" w:rsidSect="00DE55A3">
      <w:headerReference w:type="default" r:id="rId9"/>
      <w:footerReference w:type="default" r:id="rId10"/>
      <w:pgSz w:w="11907" w:h="16839" w:code="9"/>
      <w:pgMar w:top="1440" w:right="1440" w:bottom="1440" w:left="1440" w:header="720" w:footer="720" w:gutter="0"/>
      <w:pgNumType w:start="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74C7" w:rsidRDefault="002F74C7" w:rsidP="00DE55A3">
      <w:pPr>
        <w:spacing w:after="0" w:line="240" w:lineRule="auto"/>
      </w:pPr>
      <w:r>
        <w:separator/>
      </w:r>
    </w:p>
  </w:endnote>
  <w:endnote w:type="continuationSeparator" w:id="0">
    <w:p w:rsidR="002F74C7" w:rsidRDefault="002F74C7" w:rsidP="00DE55A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354110989"/>
      <w:docPartObj>
        <w:docPartGallery w:val="Page Numbers (Bottom of Page)"/>
        <w:docPartUnique/>
      </w:docPartObj>
    </w:sdtPr>
    <w:sdtContent>
      <w:p w:rsidR="000B07A5" w:rsidRDefault="009F73B9">
        <w:pPr>
          <w:pStyle w:val="Footer"/>
        </w:pPr>
        <w:r>
          <w:rPr>
            <w:noProof/>
          </w:rPr>
          <w:pict>
            <v:oval id="Oval 18" o:spid="_x0000_s4097" style="position:absolute;margin-left:0;margin-top:0;width:36.85pt;height:36.85pt;rotation:180;flip:x;z-index:251662336;visibility:visible;mso-position-horizontal:center;mso-position-horizontal-relative:right-margin-area;mso-position-vertical:center;mso-position-vertical-relative:bottom-margin-area;mso-height-relative:bottom-margin-area;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" filled="f" fillcolor="#c0504d" strokecolor="#9cc2e5 [1940]" strokeweight="1pt">
              <v:textbox inset=",0,,0">
                <w:txbxContent>
                  <w:p w:rsidR="000B07A5" w:rsidRPr="000B07A5" w:rsidRDefault="009F73B9">
                    <w:pPr>
                      <w:pStyle w:val="Footer"/>
                      <w:rPr>
                        <w:rFonts w:asciiTheme="majorHAnsi" w:hAnsiTheme="majorHAnsi" w:cstheme="majorHAnsi"/>
                        <w:color w:val="2E74B5" w:themeColor="accent1" w:themeShade="BF"/>
                      </w:rPr>
                    </w:pPr>
                    <w:r w:rsidRPr="000B07A5">
                      <w:rPr>
                        <w:rFonts w:asciiTheme="majorHAnsi" w:hAnsiTheme="majorHAnsi" w:cstheme="majorHAnsi"/>
                        <w:color w:val="2E74B5" w:themeColor="accent1" w:themeShade="BF"/>
                      </w:rPr>
                      <w:fldChar w:fldCharType="begin"/>
                    </w:r>
                    <w:r w:rsidR="000B07A5" w:rsidRPr="000B07A5">
                      <w:rPr>
                        <w:rFonts w:asciiTheme="majorHAnsi" w:hAnsiTheme="majorHAnsi" w:cstheme="majorHAnsi"/>
                        <w:color w:val="2E74B5" w:themeColor="accent1" w:themeShade="BF"/>
                      </w:rPr>
                      <w:instrText xml:space="preserve"> PAGE  \* MERGEFORMAT </w:instrText>
                    </w:r>
                    <w:r w:rsidRPr="000B07A5">
                      <w:rPr>
                        <w:rFonts w:asciiTheme="majorHAnsi" w:hAnsiTheme="majorHAnsi" w:cstheme="majorHAnsi"/>
                        <w:color w:val="2E74B5" w:themeColor="accent1" w:themeShade="BF"/>
                      </w:rPr>
                      <w:fldChar w:fldCharType="separate"/>
                    </w:r>
                    <w:r w:rsidR="00AF081F">
                      <w:rPr>
                        <w:rFonts w:asciiTheme="majorHAnsi" w:hAnsiTheme="majorHAnsi" w:cstheme="majorHAnsi"/>
                        <w:noProof/>
                        <w:color w:val="2E74B5" w:themeColor="accent1" w:themeShade="BF"/>
                      </w:rPr>
                      <w:t>1</w:t>
                    </w:r>
                    <w:r w:rsidRPr="000B07A5">
                      <w:rPr>
                        <w:rFonts w:asciiTheme="majorHAnsi" w:hAnsiTheme="majorHAnsi" w:cstheme="majorHAnsi"/>
                        <w:noProof/>
                        <w:color w:val="2E74B5" w:themeColor="accent1" w:themeShade="BF"/>
                      </w:rPr>
                      <w:fldChar w:fldCharType="end"/>
                    </w:r>
                  </w:p>
                </w:txbxContent>
              </v:textbox>
              <w10:wrap anchorx="margin" anchory="margin"/>
            </v:oval>
          </w:pic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74C7" w:rsidRDefault="002F74C7" w:rsidP="00DE55A3">
      <w:pPr>
        <w:spacing w:after="0" w:line="240" w:lineRule="auto"/>
      </w:pPr>
      <w:r>
        <w:separator/>
      </w:r>
    </w:p>
  </w:footnote>
  <w:footnote w:type="continuationSeparator" w:id="0">
    <w:p w:rsidR="002F74C7" w:rsidRDefault="002F74C7" w:rsidP="00DE55A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10097" w:rsidRPr="00E13100" w:rsidRDefault="00C50D49" w:rsidP="006D774D">
    <w:pPr>
      <w:pStyle w:val="Header"/>
      <w:tabs>
        <w:tab w:val="left" w:pos="227"/>
        <w:tab w:val="left" w:pos="3100"/>
      </w:tabs>
      <w:rPr>
        <w:rFonts w:asciiTheme="majorHAnsi" w:hAnsiTheme="majorHAnsi" w:cstheme="majorHAnsi"/>
        <w:b/>
      </w:rPr>
    </w:pPr>
    <w:r>
      <w:rPr>
        <w:noProof/>
      </w:rPr>
      <w:drawing>
        <wp:anchor distT="0" distB="0" distL="114300" distR="114300" simplePos="0" relativeHeight="251660288" behindDoc="1" locked="0" layoutInCell="1" allowOverlap="1">
          <wp:simplePos x="0" y="0"/>
          <wp:positionH relativeFrom="column">
            <wp:posOffset>89698</wp:posOffset>
          </wp:positionH>
          <wp:positionV relativeFrom="paragraph">
            <wp:posOffset>-208280</wp:posOffset>
          </wp:positionV>
          <wp:extent cx="1631754" cy="396000"/>
          <wp:effectExtent l="0" t="0" r="6985" b="4445"/>
          <wp:wrapTight wrapText="bothSides">
            <wp:wrapPolygon edited="0">
              <wp:start x="757" y="0"/>
              <wp:lineTo x="0" y="5201"/>
              <wp:lineTo x="0" y="16642"/>
              <wp:lineTo x="1009" y="20803"/>
              <wp:lineTo x="4036" y="20803"/>
              <wp:lineTo x="21440" y="17682"/>
              <wp:lineTo x="21440" y="4161"/>
              <wp:lineTo x="3531" y="0"/>
              <wp:lineTo x="757"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aslovna jos ispeglano.tif"/>
                  <pic:cNvPicPr/>
                </pic:nvPicPr>
                <pic:blipFill>
                  <a:blip r:embed="rId1"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1631754" cy="396000"/>
                  </a:xfrm>
                  <a:prstGeom prst="rect">
                    <a:avLst/>
                  </a:prstGeom>
                </pic:spPr>
              </pic:pic>
            </a:graphicData>
          </a:graphic>
        </wp:anchor>
      </w:drawing>
    </w:r>
    <w:r w:rsidR="000B07A5">
      <w:tab/>
    </w:r>
    <w:r w:rsidR="006D774D">
      <w:tab/>
    </w:r>
    <w:r w:rsidR="000B07A5">
      <w:tab/>
    </w:r>
    <w:r w:rsidR="000B07A5" w:rsidRPr="00E13100">
      <w:rPr>
        <w:rFonts w:asciiTheme="majorHAnsi" w:hAnsiTheme="majorHAnsi" w:cstheme="majorHAnsi"/>
        <w:b/>
        <w:color w:val="2E74B5" w:themeColor="accent1" w:themeShade="BF"/>
      </w:rPr>
      <w:t>WP X - Report</w:t>
    </w:r>
  </w:p>
  <w:p w:rsidR="00DE55A3" w:rsidRPr="00A10097" w:rsidRDefault="009F73B9">
    <w:pPr>
      <w:pStyle w:val="Header"/>
      <w:rPr>
        <w:color w:val="2E74B5" w:themeColor="accent1" w:themeShade="BF"/>
      </w:rPr>
    </w:pPr>
    <w:r>
      <w:rPr>
        <w:noProof/>
        <w:color w:val="2E74B5" w:themeColor="accent1" w:themeShade="BF"/>
      </w:rPr>
      <w:pict>
        <v:line id="Straight Connector 6" o:spid="_x0000_s4098" style="position:absolute;z-index:251659264;visibility:visible;mso-wrap-distance-top:-3e-5mm;mso-wrap-distance-bottom:-3e-5mm;mso-width-relative:margin;mso-height-relative:margin" from="-2.55pt,13pt" to="453.6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" strokecolor="#2880bc" strokeweight="1.5pt">
          <v:stroke dashstyle="1 1" joinstyle="miter"/>
          <o:lock v:ext="edit" shapetype="f"/>
        </v:lin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A58DA"/>
    <w:multiLevelType w:val="multilevel"/>
    <w:tmpl w:val="1F4CEE2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
    <w:nsid w:val="73D7518A"/>
    <w:multiLevelType w:val="hybridMultilevel"/>
    <w:tmpl w:val="B01804D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11266"/>
    <o:shapelayout v:ext="edit">
      <o:idmap v:ext="edit" data="4"/>
    </o:shapelayout>
  </w:hdrShapeDefaults>
  <w:footnotePr>
    <w:footnote w:id="-1"/>
    <w:footnote w:id="0"/>
  </w:footnotePr>
  <w:endnotePr>
    <w:endnote w:id="-1"/>
    <w:endnote w:id="0"/>
  </w:endnotePr>
  <w:compat/>
  <w:rsids>
    <w:rsidRoot w:val="001F229B"/>
    <w:rsid w:val="00001394"/>
    <w:rsid w:val="00032874"/>
    <w:rsid w:val="00064387"/>
    <w:rsid w:val="000817B8"/>
    <w:rsid w:val="00084C7B"/>
    <w:rsid w:val="000867DF"/>
    <w:rsid w:val="000B07A5"/>
    <w:rsid w:val="000B3990"/>
    <w:rsid w:val="000C04C8"/>
    <w:rsid w:val="000E7504"/>
    <w:rsid w:val="00112CAC"/>
    <w:rsid w:val="00121348"/>
    <w:rsid w:val="00161DA3"/>
    <w:rsid w:val="00174E03"/>
    <w:rsid w:val="00183377"/>
    <w:rsid w:val="00184CE6"/>
    <w:rsid w:val="001A2D8B"/>
    <w:rsid w:val="001A3247"/>
    <w:rsid w:val="001E0145"/>
    <w:rsid w:val="001F229B"/>
    <w:rsid w:val="00200C0F"/>
    <w:rsid w:val="00220CDD"/>
    <w:rsid w:val="0023719E"/>
    <w:rsid w:val="002A3146"/>
    <w:rsid w:val="002E2042"/>
    <w:rsid w:val="002E2A6E"/>
    <w:rsid w:val="002F74C7"/>
    <w:rsid w:val="0031015D"/>
    <w:rsid w:val="00337626"/>
    <w:rsid w:val="00344C81"/>
    <w:rsid w:val="003623C5"/>
    <w:rsid w:val="00362B80"/>
    <w:rsid w:val="00372229"/>
    <w:rsid w:val="00394B00"/>
    <w:rsid w:val="003D1BC1"/>
    <w:rsid w:val="003D4EC1"/>
    <w:rsid w:val="003E4D46"/>
    <w:rsid w:val="004030AA"/>
    <w:rsid w:val="00421D16"/>
    <w:rsid w:val="004979BE"/>
    <w:rsid w:val="004B5678"/>
    <w:rsid w:val="004C417D"/>
    <w:rsid w:val="004F5303"/>
    <w:rsid w:val="004F7604"/>
    <w:rsid w:val="00521169"/>
    <w:rsid w:val="00532FDD"/>
    <w:rsid w:val="00545ED0"/>
    <w:rsid w:val="00550FE5"/>
    <w:rsid w:val="005545D9"/>
    <w:rsid w:val="0058262F"/>
    <w:rsid w:val="005B276C"/>
    <w:rsid w:val="005D178B"/>
    <w:rsid w:val="005D7EFE"/>
    <w:rsid w:val="005F695D"/>
    <w:rsid w:val="00606768"/>
    <w:rsid w:val="00626D1A"/>
    <w:rsid w:val="00642955"/>
    <w:rsid w:val="006642EB"/>
    <w:rsid w:val="006A08DF"/>
    <w:rsid w:val="006D774D"/>
    <w:rsid w:val="006E661E"/>
    <w:rsid w:val="00723989"/>
    <w:rsid w:val="007305FF"/>
    <w:rsid w:val="00733923"/>
    <w:rsid w:val="00750B28"/>
    <w:rsid w:val="007512FF"/>
    <w:rsid w:val="0077377D"/>
    <w:rsid w:val="007763DA"/>
    <w:rsid w:val="00783516"/>
    <w:rsid w:val="007B6909"/>
    <w:rsid w:val="007C2375"/>
    <w:rsid w:val="007E0DB1"/>
    <w:rsid w:val="007F4E8B"/>
    <w:rsid w:val="007F558B"/>
    <w:rsid w:val="00823F7A"/>
    <w:rsid w:val="00833B11"/>
    <w:rsid w:val="008408D9"/>
    <w:rsid w:val="00890B6A"/>
    <w:rsid w:val="00895CE6"/>
    <w:rsid w:val="008A0D51"/>
    <w:rsid w:val="008C2542"/>
    <w:rsid w:val="008F3762"/>
    <w:rsid w:val="008F5679"/>
    <w:rsid w:val="008F7753"/>
    <w:rsid w:val="00936EB3"/>
    <w:rsid w:val="00942455"/>
    <w:rsid w:val="009826AD"/>
    <w:rsid w:val="00991C57"/>
    <w:rsid w:val="009C60C3"/>
    <w:rsid w:val="009D5663"/>
    <w:rsid w:val="009D78B6"/>
    <w:rsid w:val="009E451C"/>
    <w:rsid w:val="009F162C"/>
    <w:rsid w:val="009F20AE"/>
    <w:rsid w:val="009F2DF9"/>
    <w:rsid w:val="009F6C0D"/>
    <w:rsid w:val="009F73B9"/>
    <w:rsid w:val="00A10097"/>
    <w:rsid w:val="00A26C2B"/>
    <w:rsid w:val="00A358D1"/>
    <w:rsid w:val="00A528D0"/>
    <w:rsid w:val="00A5384C"/>
    <w:rsid w:val="00A72622"/>
    <w:rsid w:val="00A844EB"/>
    <w:rsid w:val="00A84A28"/>
    <w:rsid w:val="00AD10F1"/>
    <w:rsid w:val="00AF081F"/>
    <w:rsid w:val="00B351E3"/>
    <w:rsid w:val="00B409D6"/>
    <w:rsid w:val="00B532D0"/>
    <w:rsid w:val="00B75A67"/>
    <w:rsid w:val="00BA09FA"/>
    <w:rsid w:val="00BA1D61"/>
    <w:rsid w:val="00BA500D"/>
    <w:rsid w:val="00BC3D97"/>
    <w:rsid w:val="00BC4273"/>
    <w:rsid w:val="00C37A00"/>
    <w:rsid w:val="00C50D49"/>
    <w:rsid w:val="00C60693"/>
    <w:rsid w:val="00C8310E"/>
    <w:rsid w:val="00C85E38"/>
    <w:rsid w:val="00CB2621"/>
    <w:rsid w:val="00CB7A71"/>
    <w:rsid w:val="00CC0810"/>
    <w:rsid w:val="00CC2283"/>
    <w:rsid w:val="00CC3A6C"/>
    <w:rsid w:val="00CD4652"/>
    <w:rsid w:val="00CE2457"/>
    <w:rsid w:val="00CE354B"/>
    <w:rsid w:val="00CE6C43"/>
    <w:rsid w:val="00CF459F"/>
    <w:rsid w:val="00CF68B7"/>
    <w:rsid w:val="00D633A3"/>
    <w:rsid w:val="00D63B00"/>
    <w:rsid w:val="00D7549D"/>
    <w:rsid w:val="00D81169"/>
    <w:rsid w:val="00D945F6"/>
    <w:rsid w:val="00D96BB8"/>
    <w:rsid w:val="00DA4A69"/>
    <w:rsid w:val="00DA5559"/>
    <w:rsid w:val="00DB0D8B"/>
    <w:rsid w:val="00DE1A75"/>
    <w:rsid w:val="00DE3261"/>
    <w:rsid w:val="00DE55A3"/>
    <w:rsid w:val="00DE58CD"/>
    <w:rsid w:val="00DE6E0E"/>
    <w:rsid w:val="00E01228"/>
    <w:rsid w:val="00E07595"/>
    <w:rsid w:val="00E13100"/>
    <w:rsid w:val="00E23BA9"/>
    <w:rsid w:val="00E3063E"/>
    <w:rsid w:val="00E53B87"/>
    <w:rsid w:val="00E610A9"/>
    <w:rsid w:val="00E95176"/>
    <w:rsid w:val="00E96342"/>
    <w:rsid w:val="00EA7D87"/>
    <w:rsid w:val="00EB42BF"/>
    <w:rsid w:val="00EB7D4E"/>
    <w:rsid w:val="00EC79D3"/>
    <w:rsid w:val="00ED4169"/>
    <w:rsid w:val="00EE2E39"/>
    <w:rsid w:val="00EF6A92"/>
    <w:rsid w:val="00F151D5"/>
    <w:rsid w:val="00F4015E"/>
    <w:rsid w:val="00F4653A"/>
    <w:rsid w:val="00F664DF"/>
    <w:rsid w:val="00F700AE"/>
    <w:rsid w:val="00F87AE4"/>
    <w:rsid w:val="00FA453C"/>
    <w:rsid w:val="00FC65B2"/>
    <w:rsid w:val="00FD096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516"/>
  </w:style>
  <w:style w:type="paragraph" w:styleId="Heading1">
    <w:name w:val="heading 1"/>
    <w:basedOn w:val="Normal"/>
    <w:next w:val="Normal"/>
    <w:link w:val="Heading1Char"/>
    <w:uiPriority w:val="9"/>
    <w:qFormat/>
    <w:rsid w:val="00D81169"/>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D81169"/>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D8116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F229B"/>
    <w:pPr>
      <w:spacing w:after="0" w:line="240" w:lineRule="auto"/>
    </w:pPr>
    <w:rPr>
      <w:rFonts w:eastAsiaTheme="minorEastAsia"/>
    </w:rPr>
  </w:style>
  <w:style w:type="character" w:customStyle="1" w:styleId="NoSpacingChar">
    <w:name w:val="No Spacing Char"/>
    <w:basedOn w:val="DefaultParagraphFont"/>
    <w:link w:val="NoSpacing"/>
    <w:uiPriority w:val="1"/>
    <w:rsid w:val="001F229B"/>
    <w:rPr>
      <w:rFonts w:eastAsiaTheme="minorEastAsia"/>
    </w:rPr>
  </w:style>
  <w:style w:type="paragraph" w:styleId="Header">
    <w:name w:val="header"/>
    <w:basedOn w:val="Normal"/>
    <w:link w:val="HeaderChar"/>
    <w:uiPriority w:val="99"/>
    <w:unhideWhenUsed/>
    <w:rsid w:val="00DE5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E55A3"/>
  </w:style>
  <w:style w:type="paragraph" w:styleId="Footer">
    <w:name w:val="footer"/>
    <w:basedOn w:val="Normal"/>
    <w:link w:val="FooterChar"/>
    <w:uiPriority w:val="99"/>
    <w:unhideWhenUsed/>
    <w:rsid w:val="00DE5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E55A3"/>
  </w:style>
  <w:style w:type="character" w:customStyle="1" w:styleId="Heading1Char">
    <w:name w:val="Heading 1 Char"/>
    <w:basedOn w:val="DefaultParagraphFont"/>
    <w:link w:val="Heading1"/>
    <w:uiPriority w:val="9"/>
    <w:rsid w:val="00D81169"/>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D81169"/>
    <w:pPr>
      <w:ind w:left="720"/>
      <w:contextualSpacing/>
    </w:pPr>
  </w:style>
  <w:style w:type="character" w:customStyle="1" w:styleId="Heading2Char">
    <w:name w:val="Heading 2 Char"/>
    <w:basedOn w:val="DefaultParagraphFont"/>
    <w:link w:val="Heading2"/>
    <w:uiPriority w:val="9"/>
    <w:rsid w:val="00D8116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D81169"/>
    <w:rPr>
      <w:rFonts w:asciiTheme="majorHAnsi" w:eastAsiaTheme="majorEastAsia" w:hAnsiTheme="majorHAnsi" w:cstheme="majorBidi"/>
      <w:color w:val="1F4D78" w:themeColor="accent1" w:themeShade="7F"/>
      <w:sz w:val="24"/>
      <w:szCs w:val="24"/>
    </w:rPr>
  </w:style>
  <w:style w:type="table" w:styleId="TableGrid">
    <w:name w:val="Table Grid"/>
    <w:basedOn w:val="TableNormal"/>
    <w:uiPriority w:val="59"/>
    <w:rsid w:val="00D8116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Accent51">
    <w:name w:val="Grid Table 2 - Accent 51"/>
    <w:basedOn w:val="TableNormal"/>
    <w:uiPriority w:val="47"/>
    <w:rsid w:val="00E13100"/>
    <w:pPr>
      <w:spacing w:after="0" w:line="240" w:lineRule="auto"/>
    </w:pPr>
    <w:tblPr>
      <w:tblStyleRowBandSize w:val="1"/>
      <w:tblStyleColBandSize w:val="1"/>
      <w:tblInd w:w="0" w:type="dxa"/>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CellMar>
        <w:top w:w="0" w:type="dxa"/>
        <w:left w:w="108" w:type="dxa"/>
        <w:bottom w:w="0" w:type="dxa"/>
        <w:right w:w="108" w:type="dxa"/>
      </w:tblCellMar>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styleId="BalloonText">
    <w:name w:val="Balloon Text"/>
    <w:basedOn w:val="Normal"/>
    <w:link w:val="BalloonTextChar"/>
    <w:uiPriority w:val="99"/>
    <w:semiHidden/>
    <w:unhideWhenUsed/>
    <w:rsid w:val="00890B6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0B6A"/>
    <w:rPr>
      <w:rFonts w:ascii="Segoe UI" w:hAnsi="Segoe UI" w:cs="Segoe UI"/>
      <w:sz w:val="18"/>
      <w:szCs w:val="18"/>
    </w:rPr>
  </w:style>
  <w:style w:type="character" w:styleId="Hyperlink">
    <w:name w:val="Hyperlink"/>
    <w:rsid w:val="007512FF"/>
    <w:rPr>
      <w:color w:val="000080"/>
      <w:u w:val="single"/>
    </w:rPr>
  </w:style>
  <w:style w:type="paragraph" w:styleId="TOCHeading">
    <w:name w:val="TOC Heading"/>
    <w:basedOn w:val="Heading1"/>
    <w:next w:val="Normal"/>
    <w:uiPriority w:val="39"/>
    <w:unhideWhenUsed/>
    <w:qFormat/>
    <w:rsid w:val="007512FF"/>
    <w:pPr>
      <w:spacing w:before="480" w:line="276" w:lineRule="auto"/>
      <w:outlineLvl w:val="9"/>
    </w:pPr>
    <w:rPr>
      <w:b/>
      <w:bCs/>
      <w:sz w:val="28"/>
      <w:szCs w:val="28"/>
    </w:rPr>
  </w:style>
  <w:style w:type="paragraph" w:styleId="TOC2">
    <w:name w:val="toc 2"/>
    <w:basedOn w:val="Normal"/>
    <w:next w:val="Normal"/>
    <w:autoRedefine/>
    <w:uiPriority w:val="39"/>
    <w:unhideWhenUsed/>
    <w:qFormat/>
    <w:rsid w:val="007512FF"/>
    <w:pPr>
      <w:spacing w:after="100" w:line="276" w:lineRule="auto"/>
      <w:ind w:left="220"/>
    </w:pPr>
    <w:rPr>
      <w:rFonts w:eastAsiaTheme="minorEastAsia"/>
    </w:rPr>
  </w:style>
  <w:style w:type="paragraph" w:styleId="TOC1">
    <w:name w:val="toc 1"/>
    <w:basedOn w:val="Normal"/>
    <w:next w:val="Normal"/>
    <w:autoRedefine/>
    <w:uiPriority w:val="39"/>
    <w:unhideWhenUsed/>
    <w:qFormat/>
    <w:rsid w:val="007512FF"/>
    <w:pPr>
      <w:spacing w:after="100" w:line="276" w:lineRule="auto"/>
    </w:pPr>
    <w:rPr>
      <w:rFonts w:eastAsiaTheme="minorEastAsia"/>
    </w:rPr>
  </w:style>
  <w:style w:type="paragraph" w:styleId="TOC3">
    <w:name w:val="toc 3"/>
    <w:basedOn w:val="Normal"/>
    <w:next w:val="Normal"/>
    <w:autoRedefine/>
    <w:uiPriority w:val="39"/>
    <w:unhideWhenUsed/>
    <w:qFormat/>
    <w:rsid w:val="007512FF"/>
    <w:pPr>
      <w:spacing w:after="100" w:line="276" w:lineRule="auto"/>
      <w:ind w:left="440"/>
    </w:pPr>
    <w:rPr>
      <w:rFonts w:eastAsiaTheme="minorEastAsia"/>
    </w:rPr>
  </w:style>
  <w:style w:type="paragraph" w:styleId="NormalWeb">
    <w:name w:val="Normal (Web)"/>
    <w:basedOn w:val="Normal"/>
    <w:uiPriority w:val="99"/>
    <w:unhideWhenUsed/>
    <w:rsid w:val="007305F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ps">
    <w:name w:val="hps"/>
    <w:rsid w:val="00E610A9"/>
  </w:style>
</w:styles>
</file>

<file path=word/webSettings.xml><?xml version="1.0" encoding="utf-8"?>
<w:webSettings xmlns:r="http://schemas.openxmlformats.org/officeDocument/2006/relationships" xmlns:w="http://schemas.openxmlformats.org/wordprocessingml/2006/main">
  <w:divs>
    <w:div w:id="708837729">
      <w:bodyDiv w:val="1"/>
      <w:marLeft w:val="0"/>
      <w:marRight w:val="0"/>
      <w:marTop w:val="0"/>
      <w:marBottom w:val="0"/>
      <w:divBdr>
        <w:top w:val="none" w:sz="0" w:space="0" w:color="auto"/>
        <w:left w:val="none" w:sz="0" w:space="0" w:color="auto"/>
        <w:bottom w:val="none" w:sz="0" w:space="0" w:color="auto"/>
        <w:right w:val="none" w:sz="0" w:space="0" w:color="auto"/>
      </w:divBdr>
    </w:div>
    <w:div w:id="1065370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tiff"/><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TotalTime>
  <Pages>1</Pages>
  <Words>229</Words>
  <Characters>1311</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Strengthening of master curricula in water resources management for the Western Balkans HEIs and stakeholders</dc:creator>
  <cp:keywords/>
  <dc:description/>
  <cp:lastModifiedBy>Milan</cp:lastModifiedBy>
  <cp:revision>8</cp:revision>
  <cp:lastPrinted>2018-11-09T00:36:00Z</cp:lastPrinted>
  <dcterms:created xsi:type="dcterms:W3CDTF">2018-11-19T22:46:00Z</dcterms:created>
  <dcterms:modified xsi:type="dcterms:W3CDTF">2018-12-16T14:34:00Z</dcterms:modified>
</cp:coreProperties>
</file>